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D0" w:rsidRPr="000F25D0" w:rsidRDefault="000F25D0" w:rsidP="000F25D0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</w:pPr>
      <w:r w:rsidRPr="000F25D0"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  <w:t>НАЦІОНАЛЬНЕ АГЕНТСТВО З ПИТАНЬ ЗАПОБІГАННЯ КОРУПЦІЇ</w:t>
      </w:r>
    </w:p>
    <w:p w:rsidR="000F25D0" w:rsidRPr="000F25D0" w:rsidRDefault="000F25D0" w:rsidP="000F25D0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</w:pPr>
      <w:r w:rsidRPr="000F25D0"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2892"/>
        <w:gridCol w:w="3374"/>
      </w:tblGrid>
      <w:tr w:rsidR="000F25D0" w:rsidRPr="000F25D0" w:rsidTr="000F25D0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0F25D0" w:rsidRDefault="000F25D0" w:rsidP="000F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2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20.08.2021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0F25D0" w:rsidRDefault="000F25D0" w:rsidP="000F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2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0F25D0" w:rsidRDefault="000F25D0" w:rsidP="000F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2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539/21</w:t>
            </w:r>
          </w:p>
        </w:tc>
      </w:tr>
    </w:tbl>
    <w:p w:rsidR="000F25D0" w:rsidRPr="000F25D0" w:rsidRDefault="000F25D0" w:rsidP="000F25D0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0F25D0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Зареєстровано в Міністерстві юстиції України</w:t>
      </w:r>
      <w:r w:rsidRPr="000F25D0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br/>
        <w:t>06 жовтня 2021 р. за N 1303/36925</w:t>
      </w:r>
    </w:p>
    <w:p w:rsidR="000F25D0" w:rsidRPr="000F25D0" w:rsidRDefault="000F25D0" w:rsidP="000F25D0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</w:pPr>
      <w:r w:rsidRPr="000F25D0"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  <w:t>Про затвердження Порядку перевірки факту подання суб'єктами декларування декларацій відповідно до Закону України "Про запобігання корупції" та повідомлення Національного агентства з питань запобігання корупції про випадки неподання чи несвоєчасного подання таких декларацій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0F25D0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Відповідно до </w:t>
      </w:r>
      <w:hyperlink r:id="rId4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пункту 5 частини першої статті 12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, </w:t>
      </w:r>
      <w:hyperlink r:id="rId5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частини першої статті 51</w:t>
        </w:r>
        <w:r w:rsidRPr="00EB46F3">
          <w:rPr>
            <w:rFonts w:ascii="IBM Plex Serif" w:eastAsia="Times New Roman" w:hAnsi="IBM Plex Serif" w:cs="Times New Roman"/>
            <w:sz w:val="18"/>
            <w:szCs w:val="18"/>
            <w:vertAlign w:val="superscript"/>
            <w:lang w:eastAsia="uk-UA"/>
          </w:rPr>
          <w:t>2</w:t>
        </w:r>
        <w:r w:rsidRPr="00EB46F3">
          <w:rPr>
            <w:rFonts w:ascii="IBM Plex Serif" w:eastAsia="Times New Roman" w:hAnsi="IBM Plex Serif" w:cs="Times New Roman"/>
            <w:sz w:val="24"/>
            <w:szCs w:val="24"/>
            <w:u w:val="single"/>
            <w:lang w:eastAsia="uk-UA"/>
          </w:rPr>
          <w:t> </w:t>
        </w:r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Закону України "Про запобігання корупції"</w:t>
        </w:r>
      </w:hyperlink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b/>
          <w:bCs/>
          <w:sz w:val="24"/>
          <w:szCs w:val="24"/>
          <w:lang w:eastAsia="uk-UA"/>
        </w:rPr>
        <w:t>НАКАЗУЮ: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1. Затвердити Порядок перевірки факту подання суб'єктами декларування декларацій відповідно до </w:t>
      </w:r>
      <w:hyperlink r:id="rId6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Закону України "Про запобігання корупції"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та повідомлення Національного агентства з питань запобігання корупції про випадки неподання чи несвоєчасного подання таких декларацій, що додається.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2. Визнати таким, що втратило чинність, </w:t>
      </w:r>
      <w:hyperlink r:id="rId7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рішення Національного агентства з питань запобігання корупції від 06 вересня 2016 року N 19 "Про затвердження Порядку перевірки факту подання суб'єктами декларування декларацій відповідно до Закону України "Про запобігання корупції" та повідомлення Національного агентства з питань запобігання корупції про випадки неподання чи несвоєчасного подання таких декларацій"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, зареєстрованого в Міністерстві юстиції України 15 листопада 2016 року за N 1479/29609 (зі змінами).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3. Управлінню проведення спеціальних перевірок та моніторингу способу життя подати цей наказ на державну реєстрацію до Міністерства юстиції України.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4. Контроль за виконанням цього наказу покласти на заступника Голови Національного агентства з питань запобігання корупції Романа СУХОСТАВЦЯ.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5. Цей наказ набирає чинності з 01 грудня 2021 року, але не раніше дня його офіційного опублікування.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B46F3" w:rsidRPr="00EB46F3" w:rsidTr="000F25D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Голова Національного агентства</w:t>
            </w:r>
            <w:r w:rsidRPr="00EB4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 питань запобігання корупції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Олександр НОВІКОВ</w:t>
            </w:r>
          </w:p>
        </w:tc>
      </w:tr>
    </w:tbl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ЗАТВЕРДЖЕНО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Наказ Національного агентства з питань запобігання корупції20 серпня 2021 року N 539/21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  <w:r w:rsidRPr="00EB46F3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t xml:space="preserve">ПОРЯДОК перевірки факту подання суб'єктами декларування декларацій відповідно до </w:t>
      </w:r>
      <w:hyperlink r:id="rId8" w:tgtFrame="_blank" w:history="1">
        <w:r w:rsidRPr="00EB46F3">
          <w:rPr>
            <w:rFonts w:ascii="inherit" w:eastAsia="Times New Roman" w:hAnsi="inherit" w:cs="Times New Roman"/>
            <w:b/>
            <w:bCs/>
            <w:sz w:val="30"/>
            <w:szCs w:val="30"/>
            <w:lang w:eastAsia="uk-UA"/>
          </w:rPr>
          <w:t>Закону України "Про запобігання корупції"</w:t>
        </w:r>
      </w:hyperlink>
      <w:r w:rsidRPr="00EB46F3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t xml:space="preserve"> та повідомлення Національного агентства з питань запобігання корупції про випадки неподання чи несвоєчасного подання таких декларацій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 xml:space="preserve">1. Цей Порядок визначає процедуру перевірки державними органами, органами влади Автономної Республіки Крим, органами місцевого самоврядування, а також юридичними особами публічного права (органами, в яких працює (працював або входить чи входив до складу утвореної в органі конкурсної комісії, до складу Громадської ради доброчесності) суб'єкт декларування (далі - відповідний орган)) факту подання суб'єктами декларування, які в них працюють (працювали або входять чи входили до складу утвореної в органі конкурсної </w:t>
      </w: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lastRenderedPageBreak/>
        <w:t>комісії, до складу Громадської ради доброчесності), декларацій осіб, уповноважених на виконання функцій держави або місцевого самоврядування (далі - декларація), згідно із </w:t>
      </w:r>
      <w:hyperlink r:id="rId9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Законом України "Про запобігання корупції"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(далі - Закон), та повідомлення відповідним органом Національного агентства з питань запобігання корупції (далі - Національне агентства) про випадки неподання чи несвоєчасного подання таких декларацій.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 xml:space="preserve">2. У цьому Порядку терміни вживаються у значеннях, наведених у </w:t>
      </w:r>
      <w:hyperlink r:id="rId10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Законі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 xml:space="preserve"> та прийнятих відповідно до нього нормативно-правових актах.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Припиненням діяльності, пов'язаної з виконанням функцій держави або місцевого самоврядування, є останній день виконання суб'єктом декларування зазначених функцій.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3. Перевірка факту подання декларацій та повідомлення Національного агентства про випадки неподання чи несвоєчасного подання декларацій покладаються на уповноважений підрозділ (уповноважену особу) з питань запобігання та виявлення корупції відповідного органу, а у разі, якщо </w:t>
      </w:r>
      <w:hyperlink r:id="rId11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Законом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не передбачено утворення (визначення) такого підрозділу (особи) - інший структурний підрозділ відповідного органу, визначений керівником (далі - відповідальний підрозділ (особа)).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Керівник відповідного органу організовує взаємодію відповідального підрозділу (особи) з іншими підрозділами з метою обліку суб'єктів декларування, у яких виник обов'язок подати декларації згідно із вимогами </w:t>
      </w:r>
      <w:hyperlink r:id="rId12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Закону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4. Відповідальний підрозділ (особа) відповідного органу перевіряє факт подання декларацій суб'єктами декларування у такі строки: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1) щорічні декларації - декларації, які подаються відповідно до </w:t>
      </w:r>
      <w:hyperlink r:id="rId13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частини першої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та абзацу другого </w:t>
      </w:r>
      <w:hyperlink r:id="rId14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частини другої статті 45 Закону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(щороку та після припинення діяльності (після звільнення) відповідно), - протягом 10 робочих днів з граничної дати подання таких декларацій;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2) декларації при звільненні - декларації, які подаються відповідно до абзацу першого </w:t>
      </w:r>
      <w:hyperlink r:id="rId15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частини другої статті 45 Закону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, - протягом 10 робочих днів після спливу строку у 30 календарних днів з дня припинення суб'єктом декларування діяльності, пов'язаної з виконанням функцій держави або місцевого самоврядування;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3) декларації, які подають особи, зазначені у </w:t>
      </w:r>
      <w:hyperlink r:id="rId16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підпункті "в" пункту 2 частини першої статті 3 Закону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, у разі входження (включення, залучення, обрання, призначення) до складу конкурсної комісії, утвореної відповідно до </w:t>
      </w:r>
      <w:hyperlink r:id="rId17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Законів України "Про державну службу"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, </w:t>
      </w:r>
      <w:hyperlink r:id="rId18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"Про службу в органах місцевого самоврядування"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, </w:t>
      </w:r>
      <w:hyperlink r:id="rId19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Закону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та інших законів України, Громадської ради доброчесності, утвореної згідно із </w:t>
      </w:r>
      <w:hyperlink r:id="rId20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Законом України "Про судоустрій і статус суддів"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, - протягом 10 робочих днів з граничної дати подання таких декларацій, визначеної в абзаці другому </w:t>
      </w:r>
      <w:hyperlink r:id="rId21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частини третьої статті 45 Закону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 xml:space="preserve">5. Відповідальний підрозділ (особа) відповідного органу перевіряє факт подання декларацій шляхом пошуку та перегляду інформації в публічній частині Єдиного державного реєстру декларацій осіб, уповноважених на виконання функцій держави або місцевого самоврядування (далі - Реєстр), на офіційному </w:t>
      </w:r>
      <w:proofErr w:type="spellStart"/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вебсайті</w:t>
      </w:r>
      <w:proofErr w:type="spellEnd"/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 xml:space="preserve"> Національного агентства.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 xml:space="preserve">6. неподання чи несвоєчасного подання декларації особи, уповноваженої на виконання функцій </w:t>
      </w:r>
      <w:r w:rsidR="00D8175D" w:rsidRPr="00D8175D">
        <w:rPr>
          <w:rFonts w:ascii="IBM Plex Serif" w:eastAsia="Times New Roman" w:hAnsi="IBM Plex Serif" w:cs="Times New Roman"/>
          <w:sz w:val="24"/>
          <w:szCs w:val="24"/>
          <w:lang w:eastAsia="uk-UA"/>
        </w:rPr>
        <w:t>У випадку встановлення факту неподання чи несвоєчасного подання декларацій суб'єктами декларування згідно з вимогами </w:t>
      </w:r>
      <w:hyperlink r:id="rId22" w:tgtFrame="_blank" w:history="1">
        <w:r w:rsidR="00D8175D" w:rsidRPr="00D8175D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Закону</w:t>
        </w:r>
      </w:hyperlink>
      <w:r w:rsidR="00D8175D" w:rsidRPr="00D8175D">
        <w:rPr>
          <w:rFonts w:ascii="IBM Plex Serif" w:eastAsia="Times New Roman" w:hAnsi="IBM Plex Serif" w:cs="Times New Roman"/>
          <w:sz w:val="24"/>
          <w:szCs w:val="24"/>
          <w:lang w:eastAsia="uk-UA"/>
        </w:rPr>
        <w:t> відповідальний підрозділ (особа) відповідного органу повідомляє про це Національне агентство упродовж 3 робочих днів з дня виявлення такого факту. Повідомлення Національного агентства про факт</w:t>
      </w:r>
      <w:r w:rsidR="00D8175D" w:rsidRPr="00D8175D">
        <w:rPr>
          <w:rFonts w:ascii="IBM Plex Serif" w:eastAsia="Times New Roman" w:hAnsi="IBM Plex Serif" w:cs="Times New Roman"/>
          <w:color w:val="FF0000"/>
          <w:sz w:val="24"/>
          <w:szCs w:val="24"/>
          <w:lang w:eastAsia="uk-UA"/>
        </w:rPr>
        <w:t xml:space="preserve"> </w:t>
      </w: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держави або місцевого самоврядування (додаток 1), надсилається засобами поштового зв'язку (рекомендованим листом з повідомленням про вручення).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У разі повідомлення Національного агентства про неподання чи несвоєчасне подання суб'єктом декларування декларації, подання якої передбачено </w:t>
      </w:r>
      <w:hyperlink r:id="rId23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частиною другою статті 45 Закону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, у відповідному повідомленні вказується дата припи</w:t>
      </w:r>
      <w:bookmarkStart w:id="0" w:name="_GoBack"/>
      <w:bookmarkEnd w:id="0"/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нення зазначеним суб'єктом діяльності, пов'язаної з виконанням функцій держави або місцевого самоврядування. До такого повідомлення додаються копії документів, що підтверджують дату припинення зазначеної діяльності.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lastRenderedPageBreak/>
        <w:t>Повідомлення Національного агентства про факт неподання чи несвоєчасного подання декларацій надсилає відповідний орган окремо за кожним фактом такого неподання чи несвоєчасного подання.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7. Якщо за результатами контролю встановлено, що суб'єкт декларування не подав декларацію, Національне агентство відповідно до вимог </w:t>
      </w:r>
      <w:hyperlink r:id="rId24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Закону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письмово повідомляє такого суб'єкта про факт неподання декларації, і суб'єкт декларування повинен протягом 10 днів з дня отримання такого повідомлення подати декларацію.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Повідомлення суб'єкту декларування надсилається засобами поштового зв'язку (рекомендованим листом із повідомленням про вручення) за адресами, що зазначені в поданих таким суб'єктом деклараціях, повідомленнях відповідних органів, спеціально уповноважених суб'єктів у сфері протидії корупції (у разі їх надходження) згідно із законодавством, або вручається суб'єкту декларування особисто під підпис.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8. У разі встановлення факту неподання декларації суб'єктом декларування Національне агентство письмово повідомляє про це керівника відповідного органу та спеціально уповноважених суб'єктів у сфері протидії корупції.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У разі встановлення Національним агентством факту неподання декларації суддею, суддею Конституційного Суду України Національне агентство письмово повідомляє про такі обставини відповідно Вищій раді правосуддя або Голові Конституційного Суду України.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Повідомлення про факт неподання декларації особи, уповноваженої на виконання функцій держави або місцевого самоврядування (додаток 2), надсилається з урахуванням положень </w:t>
      </w:r>
      <w:hyperlink r:id="rId25" w:tgtFrame="_blank" w:history="1">
        <w:r w:rsidRPr="00EB46F3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статті 216 Кримінального процесуального кодексу України</w:t>
        </w:r>
      </w:hyperlink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.</w:t>
      </w:r>
    </w:p>
    <w:p w:rsidR="000F25D0" w:rsidRPr="00EB46F3" w:rsidRDefault="000F25D0" w:rsidP="000F25D0">
      <w:pPr>
        <w:shd w:val="clear" w:color="auto" w:fill="FFFFFF"/>
        <w:spacing w:after="0" w:line="240" w:lineRule="auto"/>
        <w:ind w:firstLine="709"/>
        <w:jc w:val="both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B46F3" w:rsidRPr="00EB46F3" w:rsidTr="000F25D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 Управління</w:t>
            </w:r>
            <w:r w:rsidRPr="00EB4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проведення спеціальних перевірок</w:t>
            </w:r>
            <w:r w:rsidRPr="00EB4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та моніторингу способу життя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Олександр АМПЛЕЄВ</w:t>
            </w:r>
          </w:p>
        </w:tc>
      </w:tr>
    </w:tbl>
    <w:p w:rsidR="000F25D0" w:rsidRPr="00EB46F3" w:rsidRDefault="000F25D0" w:rsidP="000F25D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</w:t>
      </w:r>
    </w:p>
    <w:p w:rsidR="000F25D0" w:rsidRPr="00EB46F3" w:rsidRDefault="000F25D0" w:rsidP="000F25D0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Додаток 1</w:t>
      </w: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до Порядку перевірки факту подання</w:t>
      </w: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суб'єктами декларування декларацій</w:t>
      </w: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відповідно до Закону України "Про запобігання корупції" та повідомлення Національного агентства з питань запобігання корупції про випадки неподання чи несвоєчасного подання таких декларацій</w:t>
      </w: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(пункт 6)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B46F3" w:rsidRPr="00EB46F3" w:rsidTr="000F25D0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 N 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(дата і номер)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Національне агентство з питань запобігання корупції</w:t>
            </w:r>
          </w:p>
        </w:tc>
      </w:tr>
    </w:tbl>
    <w:p w:rsidR="000F25D0" w:rsidRPr="00EB46F3" w:rsidRDefault="000F25D0" w:rsidP="000F25D0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  <w:r w:rsidRPr="00EB46F3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t>ПОВІДОМЛЕННЯ</w:t>
      </w:r>
      <w:r w:rsidRPr="00EB46F3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br/>
        <w:t>Національного агентства про факт неподання чи несвоєчасного подання декларації особи, уповноваженої на виконання функцій держави або місцевого самоврядування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2100"/>
        <w:gridCol w:w="3465"/>
      </w:tblGrid>
      <w:tr w:rsidR="00EB46F3" w:rsidRPr="00EB46F3" w:rsidTr="000F25D0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 </w:t>
            </w:r>
            <w:hyperlink r:id="rId26" w:tgtFrame="_blank" w:history="1">
              <w:r w:rsidRPr="00EB46F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частини першої статті 51</w:t>
              </w:r>
              <w:r w:rsidRPr="00EB46F3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  <w:lang w:eastAsia="uk-UA"/>
                </w:rPr>
                <w:t>2</w:t>
              </w:r>
              <w:r w:rsidRPr="00EB46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 </w:t>
              </w:r>
              <w:r w:rsidRPr="00EB46F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Закону України "Про запобігання корупції"</w:t>
              </w:r>
            </w:hyperlink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повідомляємо про встановлення факту 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(неподання чи несвоєчасного подання)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декларації особи, уповноваженої на виконання функцій держави або місцевого самоврядування, а саме _____________________________ за 20__ рік (__________________________________)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(вид декларації)                                                                                          (період)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(прізвище, ім'я, по батькові (за наявності) суб'єкта декларування)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(реєстраційний номер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27" w:tgtFrame="_blank" w:history="1">
              <w:r w:rsidRPr="00EB46F3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облікової картки платника податків</w:t>
              </w:r>
            </w:hyperlink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 серія (за наявності) та номер паспорта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(для фізичних осіб, які через свої релігійні переконання відмовляються від прийняття реєстраційного номера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облікової картки платника податків, повідомили про це відповідний контролюючий орган і мають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відповідну відмітку в паспорті), ким і коли видано паспорт)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(місце проживання (місце реєстрації та фактичного проживання) суб'єкта декларування</w:t>
            </w:r>
            <w:r w:rsidRPr="00EB4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,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індекс,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дата народження, контактні номери телефонів)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який(а) працює (працював(ла) або входить чи входив(ла) до складу утвореної в органі конкурсної комісії, до складу Громадської ради доброчесності) 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(найменування державного органу, органу місцевого самоврядування, іншої юридичної особи публічного права)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посаді 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      (повна назва посади)</w:t>
            </w:r>
          </w:p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суб'єкт декларування має військове звання, зазначте, яке саме 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      (для військових посадових осіб)</w:t>
            </w:r>
          </w:p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B46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74D684F" wp14:editId="6FA78A4B">
                  <wp:extent cx="116205" cy="116205"/>
                  <wp:effectExtent l="0" t="0" r="0" b="0"/>
                  <wp:docPr id="2" name="Рисунок 2" descr="https://ips.ligazakon.net/l_flib1.nsf/LookupFiles/Re36925_img_001.gif/$file/Re3692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ps.ligazakon.net/l_flib1.nsf/LookupFiles/Re36925_img_001.gif/$file/Re3692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Суб'єкт декларування займає(в) посаду, яка передбачає зайняття відповідального та особливо відповідального становища відповідно до </w:t>
            </w:r>
            <w:hyperlink r:id="rId29" w:tgtFrame="_blank" w:history="1">
              <w:r w:rsidRPr="00EB46F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Закону</w:t>
              </w:r>
              <w:r w:rsidRPr="00EB46F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</w:r>
            </w:hyperlink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______________________________________________________________________________________,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      (дата припинення діяльності, пов'язаної з виконанням функцій держави або місцевого самоврядування,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у разі такого припинення)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    (реквізити відповідального підрозділу (особи), прізвище, ім'я, по батькові працівника відповідального підрозділу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        (особи), номер телефону та адреса електронної пошти такого працівника (особи))</w:t>
            </w:r>
          </w:p>
        </w:tc>
      </w:tr>
      <w:tr w:rsidR="00EB46F3" w:rsidRPr="00EB46F3" w:rsidTr="000F25D0">
        <w:trPr>
          <w:jc w:val="center"/>
        </w:trPr>
        <w:tc>
          <w:tcPr>
            <w:tcW w:w="2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(керівник відповідального підрозділу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(відповідальна особа))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 та прізвище)</w:t>
            </w:r>
          </w:p>
        </w:tc>
      </w:tr>
    </w:tbl>
    <w:p w:rsidR="000F25D0" w:rsidRPr="00EB46F3" w:rsidRDefault="000F25D0" w:rsidP="000F25D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 </w:t>
      </w:r>
    </w:p>
    <w:p w:rsidR="000F25D0" w:rsidRPr="00EB46F3" w:rsidRDefault="000F25D0" w:rsidP="000F25D0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Додаток 2</w:t>
      </w: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до Порядку перевірки факту подання суб'єктами декларування декларацій відповідно до Закону України "Про запобігання корупції" та повідомлення Національного агентства з питань запобігання корупції про випадки неподання чи несвоєчасного подання таких декларацій</w:t>
      </w: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(пункт 8)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B46F3" w:rsidRPr="00EB46F3" w:rsidTr="000F25D0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 N 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(дата і номер)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Орган, в якому працює (працював або входить чи входив до складу утвореної в органі конкурсної комісії, до складу Громадської ради доброчесності) суб'єкт декларування, та спеціально уповноважені суб'єкти у сфері протидії корупції</w:t>
            </w:r>
          </w:p>
        </w:tc>
      </w:tr>
    </w:tbl>
    <w:p w:rsidR="000F25D0" w:rsidRPr="00EB46F3" w:rsidRDefault="000F25D0" w:rsidP="000F25D0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  <w:r w:rsidRPr="00EB46F3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t>ПОВІДОМЛЕННЯ</w:t>
      </w:r>
      <w:r w:rsidRPr="00EB46F3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br/>
        <w:t>про факт неподання декларації особи, уповноваженої на виконання</w:t>
      </w:r>
      <w:r w:rsidRPr="00EB46F3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br/>
        <w:t>функцій держави або місцевого самоврядування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0"/>
        <w:gridCol w:w="2205"/>
        <w:gridCol w:w="3465"/>
      </w:tblGrid>
      <w:tr w:rsidR="00EB46F3" w:rsidRPr="00EB46F3" w:rsidTr="000F25D0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 </w:t>
            </w:r>
            <w:hyperlink r:id="rId30" w:tgtFrame="_blank" w:history="1">
              <w:r w:rsidRPr="00EB46F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частини другої статті 51</w:t>
              </w:r>
              <w:r w:rsidRPr="00EB46F3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  <w:lang w:eastAsia="uk-UA"/>
                </w:rPr>
                <w:t>2</w:t>
              </w:r>
              <w:r w:rsidRPr="00EB46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 </w:t>
              </w:r>
              <w:r w:rsidRPr="00EB46F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Закону України "Про запобігання корупції"</w:t>
              </w:r>
            </w:hyperlink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повідомляємо про встановлення факту неподання декларації особи, уповноваженої на виконання функцій держави або місцевого самоврядування, а саме ____________________________ за 20__ рік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(вид декларації)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(прізвище, ім'я, по батькові (за наявності) суб'єкта декларування)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  (реєстраційний номер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31" w:tgtFrame="_blank" w:history="1">
              <w:r w:rsidRPr="00EB46F3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облікової картки платника податків</w:t>
              </w:r>
            </w:hyperlink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 серія (за наявності) та номер паспорта (для фізичних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  осіб, які через свої релігійні переконання відмовляються від прийняття реєстраційного номера облікової картки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   платника податків, повідомили про це відповідний контролюючий орган і мають відповідну відмітку в паспорті))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який(а) працює (працював(ла) або входить чи входив(ла) до складу утвореної в органі конкурсної комісії, до складу Громадської ради доброчесності) 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    (найменування державного органу, органу місцевого самоврядування, іншої юридичної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                       особи публічного права)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посаді ______________________________________________________________________________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(повна назва посади)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   (реквізити відповідального підрозділу (особи), прізвище, ім'я, по батькові працівника відповідального підрозділу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      (особи), номер телефону та адреса електронної пошти такого працівника (особи))</w:t>
            </w:r>
          </w:p>
        </w:tc>
      </w:tr>
      <w:tr w:rsidR="00EB46F3" w:rsidRPr="00EB46F3" w:rsidTr="000F25D0">
        <w:trPr>
          <w:jc w:val="center"/>
        </w:trPr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(уповноважена особа Національного</w:t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агентства з питань запобігання корупції)</w:t>
            </w:r>
          </w:p>
        </w:tc>
        <w:tc>
          <w:tcPr>
            <w:tcW w:w="1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D0" w:rsidRPr="00EB46F3" w:rsidRDefault="000F25D0" w:rsidP="000F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EB46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46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 та прізвище)</w:t>
            </w:r>
          </w:p>
        </w:tc>
      </w:tr>
    </w:tbl>
    <w:p w:rsidR="000F25D0" w:rsidRPr="00EB46F3" w:rsidRDefault="000F25D0" w:rsidP="000F25D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B46F3">
        <w:rPr>
          <w:rFonts w:ascii="IBM Plex Serif" w:eastAsia="Times New Roman" w:hAnsi="IBM Plex Serif" w:cs="Times New Roman"/>
          <w:sz w:val="24"/>
          <w:szCs w:val="24"/>
          <w:lang w:eastAsia="uk-UA"/>
        </w:rPr>
        <w:t>____________</w:t>
      </w:r>
    </w:p>
    <w:p w:rsidR="000B4DEA" w:rsidRPr="00EB46F3" w:rsidRDefault="00D8175D" w:rsidP="000F25D0">
      <w:pPr>
        <w:shd w:val="clear" w:color="auto" w:fill="FFFFFF"/>
        <w:spacing w:after="0" w:line="240" w:lineRule="auto"/>
      </w:pPr>
    </w:p>
    <w:sectPr w:rsidR="000B4DEA" w:rsidRPr="00EB46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A4"/>
    <w:rsid w:val="00075590"/>
    <w:rsid w:val="000F25D0"/>
    <w:rsid w:val="000F5B43"/>
    <w:rsid w:val="000F7D68"/>
    <w:rsid w:val="00134EA4"/>
    <w:rsid w:val="0018753F"/>
    <w:rsid w:val="001944E4"/>
    <w:rsid w:val="00480BF2"/>
    <w:rsid w:val="00A52B5A"/>
    <w:rsid w:val="00BF46DA"/>
    <w:rsid w:val="00CA45AF"/>
    <w:rsid w:val="00CA45D0"/>
    <w:rsid w:val="00D8175D"/>
    <w:rsid w:val="00E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5804A-CF3D-49FB-BE7E-59086634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F2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5D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F25D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0F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0F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0F25D0"/>
    <w:rPr>
      <w:color w:val="0000FF"/>
      <w:u w:val="single"/>
    </w:rPr>
  </w:style>
  <w:style w:type="character" w:customStyle="1" w:styleId="hard-blue-color">
    <w:name w:val="hard-blue-color"/>
    <w:basedOn w:val="a0"/>
    <w:rsid w:val="000F25D0"/>
  </w:style>
  <w:style w:type="paragraph" w:customStyle="1" w:styleId="tl">
    <w:name w:val="tl"/>
    <w:basedOn w:val="a"/>
    <w:rsid w:val="000F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0F25D0"/>
  </w:style>
  <w:style w:type="paragraph" w:styleId="a4">
    <w:name w:val="Balloon Text"/>
    <w:basedOn w:val="a"/>
    <w:link w:val="a5"/>
    <w:uiPriority w:val="99"/>
    <w:semiHidden/>
    <w:unhideWhenUsed/>
    <w:rsid w:val="000F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5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3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5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8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14_1700?ed=2021_08_05" TargetMode="External"/><Relationship Id="rId13" Type="http://schemas.openxmlformats.org/officeDocument/2006/relationships/hyperlink" Target="https://ips.ligazakon.net/document/view/t14_1700?ed=2021_08_05&amp;an=440" TargetMode="External"/><Relationship Id="rId18" Type="http://schemas.openxmlformats.org/officeDocument/2006/relationships/hyperlink" Target="https://ips.ligazakon.net/document/view/t012493?ed=2021_08_01" TargetMode="External"/><Relationship Id="rId26" Type="http://schemas.openxmlformats.org/officeDocument/2006/relationships/hyperlink" Target="https://ips.ligazakon.net/document/view/t14_1700?ed=2021_08_05&amp;an=20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ps.ligazakon.net/document/view/t14_1700?ed=2021_08_05&amp;an=1814" TargetMode="External"/><Relationship Id="rId7" Type="http://schemas.openxmlformats.org/officeDocument/2006/relationships/hyperlink" Target="https://ips.ligazakon.net/document/view/re29609?ed=2020_05_19" TargetMode="External"/><Relationship Id="rId12" Type="http://schemas.openxmlformats.org/officeDocument/2006/relationships/hyperlink" Target="https://ips.ligazakon.net/document/view/t14_1700?ed=2021_08_05" TargetMode="External"/><Relationship Id="rId17" Type="http://schemas.openxmlformats.org/officeDocument/2006/relationships/hyperlink" Target="https://ips.ligazakon.net/document/view/t150889?ed=2021_07_16" TargetMode="External"/><Relationship Id="rId25" Type="http://schemas.openxmlformats.org/officeDocument/2006/relationships/hyperlink" Target="https://ips.ligazakon.net/document/view/t124651?ed=2021_08_08&amp;an=508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ps.ligazakon.net/document/view/t14_1700?ed=2021_08_05&amp;an=1246" TargetMode="External"/><Relationship Id="rId20" Type="http://schemas.openxmlformats.org/officeDocument/2006/relationships/hyperlink" Target="https://ips.ligazakon.net/document/view/t161402?ed=2021_08_05" TargetMode="External"/><Relationship Id="rId29" Type="http://schemas.openxmlformats.org/officeDocument/2006/relationships/hyperlink" Target="https://ips.ligazakon.net/document/view/t14_1700?ed=2021_08_05" TargetMode="Externa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t14_1700?ed=2021_08_05" TargetMode="External"/><Relationship Id="rId11" Type="http://schemas.openxmlformats.org/officeDocument/2006/relationships/hyperlink" Target="https://ips.ligazakon.net/document/view/t14_1700?ed=2021_08_05" TargetMode="External"/><Relationship Id="rId24" Type="http://schemas.openxmlformats.org/officeDocument/2006/relationships/hyperlink" Target="https://ips.ligazakon.net/document/view/t14_1700?ed=2021_08_0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ps.ligazakon.net/document/view/t14_1700?ed=2021_08_05&amp;an=2032" TargetMode="External"/><Relationship Id="rId15" Type="http://schemas.openxmlformats.org/officeDocument/2006/relationships/hyperlink" Target="https://ips.ligazakon.net/document/view/t14_1700?ed=2021_08_05&amp;an=441" TargetMode="External"/><Relationship Id="rId23" Type="http://schemas.openxmlformats.org/officeDocument/2006/relationships/hyperlink" Target="https://ips.ligazakon.net/document/view/t14_1700?ed=2021_08_05&amp;an=441" TargetMode="External"/><Relationship Id="rId28" Type="http://schemas.openxmlformats.org/officeDocument/2006/relationships/image" Target="media/image1.gif"/><Relationship Id="rId10" Type="http://schemas.openxmlformats.org/officeDocument/2006/relationships/hyperlink" Target="https://ips.ligazakon.net/document/view/t14_1700?ed=2021_08_05" TargetMode="External"/><Relationship Id="rId19" Type="http://schemas.openxmlformats.org/officeDocument/2006/relationships/hyperlink" Target="https://ips.ligazakon.net/document/view/t14_1700?ed=2021_08_05" TargetMode="External"/><Relationship Id="rId31" Type="http://schemas.openxmlformats.org/officeDocument/2006/relationships/hyperlink" Target="https://ips.ligazakon.net/document/view/re31174?ed=2020_12_14&amp;an=281" TargetMode="External"/><Relationship Id="rId4" Type="http://schemas.openxmlformats.org/officeDocument/2006/relationships/hyperlink" Target="https://ips.ligazakon.net/document/view/t14_1700?ed=2021_08_05&amp;an=189" TargetMode="External"/><Relationship Id="rId9" Type="http://schemas.openxmlformats.org/officeDocument/2006/relationships/hyperlink" Target="https://ips.ligazakon.net/document/view/t14_1700?ed=2021_08_05" TargetMode="External"/><Relationship Id="rId14" Type="http://schemas.openxmlformats.org/officeDocument/2006/relationships/hyperlink" Target="https://ips.ligazakon.net/document/view/t14_1700?ed=2021_08_05&amp;an=441" TargetMode="External"/><Relationship Id="rId22" Type="http://schemas.openxmlformats.org/officeDocument/2006/relationships/hyperlink" Target="https://ips.ligazakon.net/document/view/t14_1700?ed=2021_08_05" TargetMode="External"/><Relationship Id="rId27" Type="http://schemas.openxmlformats.org/officeDocument/2006/relationships/hyperlink" Target="https://ips.ligazakon.net/document/view/re31174?ed=2020_12_14&amp;an=281" TargetMode="External"/><Relationship Id="rId30" Type="http://schemas.openxmlformats.org/officeDocument/2006/relationships/hyperlink" Target="https://ips.ligazakon.net/document/view/t14_1700?ed=2021_08_05&amp;an=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11671</Words>
  <Characters>6653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Obmetko Oksana</dc:creator>
  <cp:keywords/>
  <dc:description/>
  <cp:lastModifiedBy>Obmetko Oksana</cp:lastModifiedBy>
  <cp:revision>6</cp:revision>
  <cp:lastPrinted>2021-12-06T06:56:00Z</cp:lastPrinted>
  <dcterms:created xsi:type="dcterms:W3CDTF">2021-12-06T06:43:00Z</dcterms:created>
  <dcterms:modified xsi:type="dcterms:W3CDTF">2021-12-07T14:11:00Z</dcterms:modified>
</cp:coreProperties>
</file>